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39E" w:rsidRDefault="00A56591">
      <w:r>
        <w:t>Mr. Kowalkowski</w:t>
      </w:r>
      <w:r w:rsidR="00B2139E">
        <w:t xml:space="preserve"> and I are recommending we keep all three levies at their approved rates for 2020, and run an Enrichment</w:t>
      </w:r>
      <w:r>
        <w:t xml:space="preserve"> (EPO)</w:t>
      </w:r>
      <w:r w:rsidR="00B2139E">
        <w:t xml:space="preserve"> Levy and a Capital Projects Levy</w:t>
      </w:r>
      <w:r>
        <w:t xml:space="preserve"> for four years, beginning in 2021.</w:t>
      </w:r>
      <w:r w:rsidR="00B2139E">
        <w:t xml:space="preserve">  See below for the amounts we would generate with each.  I also included the example of lowering the transportation vehicle levy at the .25/$</w:t>
      </w:r>
      <w:r w:rsidR="00F83266">
        <w:t>1</w:t>
      </w:r>
      <w:r w:rsidR="00B2139E">
        <w:t xml:space="preserve">,000 that we discussed in October.  </w:t>
      </w:r>
    </w:p>
    <w:p w:rsidR="00A56591" w:rsidRPr="00A56591" w:rsidRDefault="00A56591">
      <w:pPr>
        <w:rPr>
          <w:i/>
        </w:rPr>
      </w:pPr>
      <w:r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56591">
        <w:rPr>
          <w:i/>
        </w:rPr>
        <w:t xml:space="preserve"> Leslie Oliver</w:t>
      </w:r>
    </w:p>
    <w:p w:rsidR="00B2139E" w:rsidRDefault="00B2139E"/>
    <w:p w:rsidR="00B2139E" w:rsidRDefault="00B2139E">
      <w:r>
        <w:t xml:space="preserve">Estimated levy rates for 2020 and for the four-year levy </w:t>
      </w:r>
    </w:p>
    <w:p w:rsidR="005053DF" w:rsidRDefault="00B2139E">
      <w:r>
        <w:rPr>
          <w:noProof/>
        </w:rPr>
        <w:drawing>
          <wp:inline distT="0" distB="0" distL="0" distR="0">
            <wp:extent cx="5943600" cy="5476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vies without tv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9E" w:rsidRDefault="00B2139E"/>
    <w:p w:rsidR="00B2139E" w:rsidRDefault="00B2139E"/>
    <w:p w:rsidR="00B2139E" w:rsidRDefault="00B2139E">
      <w:r>
        <w:t xml:space="preserve">Estimates with keeping the TVF levy for 2020 only.  </w:t>
      </w:r>
    </w:p>
    <w:p w:rsidR="00B2139E" w:rsidRDefault="00B2139E">
      <w:r>
        <w:rPr>
          <w:noProof/>
        </w:rPr>
        <w:drawing>
          <wp:inline distT="0" distB="0" distL="0" distR="0">
            <wp:extent cx="5943600" cy="1393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VF Lev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9E" w:rsidRDefault="00B2139E"/>
    <w:p w:rsidR="00B2139E" w:rsidRDefault="00B2139E"/>
    <w:p w:rsidR="00B2139E" w:rsidRDefault="00B2139E"/>
    <w:p w:rsidR="00B2139E" w:rsidRDefault="00B2139E"/>
    <w:p w:rsidR="00B2139E" w:rsidRDefault="00B2139E">
      <w:r>
        <w:t>This graph shows the total tax rate including the State tax rate and without renewing the transportation vehicle levy.  I estimated increasing the capital projects levy to $1.15/$1,000 starting in 2021, but we can discuss options for the 2021-2024 levy rates at the December 9</w:t>
      </w:r>
      <w:r w:rsidRPr="00B2139E">
        <w:rPr>
          <w:vertAlign w:val="superscript"/>
        </w:rPr>
        <w:t>th</w:t>
      </w:r>
      <w:r>
        <w:t xml:space="preserve"> meeting.  </w:t>
      </w:r>
    </w:p>
    <w:p w:rsidR="00B2139E" w:rsidRDefault="00B2139E"/>
    <w:p w:rsidR="00B2139E" w:rsidRDefault="00B2139E">
      <w:bookmarkStart w:id="0" w:name="_GoBack"/>
      <w:r>
        <w:rPr>
          <w:noProof/>
        </w:rPr>
        <w:drawing>
          <wp:inline distT="0" distB="0" distL="0" distR="0" wp14:anchorId="70D35427" wp14:editId="02FD4562">
            <wp:extent cx="6858000" cy="5799667"/>
            <wp:effectExtent l="0" t="0" r="0" b="44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End w:id="0"/>
    </w:p>
    <w:sectPr w:rsidR="00B2139E" w:rsidSect="00B213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9E"/>
    <w:rsid w:val="00872B25"/>
    <w:rsid w:val="00A56591"/>
    <w:rsid w:val="00B2139E"/>
    <w:rsid w:val="00B61447"/>
    <w:rsid w:val="00D1697A"/>
    <w:rsid w:val="00F8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FAB94"/>
  <w15:chartTrackingRefBased/>
  <w15:docId w15:val="{FCE42859-7707-D042-A011-268E718A2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leslieoliver\Google%20Drive\2019-20\fiscal\Levy%202020\Mil%20Rate%20without%20TVF%20Lev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Mil Rate/$1,000 with State Tax Included</a:t>
            </a:r>
          </a:p>
        </c:rich>
      </c:tx>
      <c:layout>
        <c:manualLayout>
          <c:xMode val="edge"/>
          <c:yMode val="edge"/>
          <c:x val="0.27460878693668495"/>
          <c:y val="1.41424137451383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629644211140273E-2"/>
          <c:y val="0.12038059939708445"/>
          <c:w val="0.89198425196850384"/>
          <c:h val="0.70846973021814896"/>
        </c:manualLayout>
      </c:layout>
      <c:barChart>
        <c:barDir val="col"/>
        <c:grouping val="stacked"/>
        <c:varyColors val="0"/>
        <c:ser>
          <c:idx val="6"/>
          <c:order val="2"/>
          <c:tx>
            <c:strRef>
              <c:f>Sheet1!$A$5</c:f>
              <c:strCache>
                <c:ptCount val="1"/>
                <c:pt idx="0">
                  <c:v>Total Bonds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hade val="51000"/>
                    <a:satMod val="130000"/>
                  </a:schemeClr>
                </a:gs>
                <a:gs pos="80000">
                  <a:schemeClr val="accent1">
                    <a:lumMod val="60000"/>
                    <a:shade val="93000"/>
                    <a:satMod val="130000"/>
                  </a:schemeClr>
                </a:gs>
                <a:gs pos="100000">
                  <a:schemeClr val="accent1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Sheet1!$F$1:$Q$1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Sheet1!$F$5:$Q$5</c:f>
              <c:numCache>
                <c:formatCode>0.00</c:formatCode>
                <c:ptCount val="12"/>
                <c:pt idx="0">
                  <c:v>2.93</c:v>
                </c:pt>
                <c:pt idx="1">
                  <c:v>2.75</c:v>
                </c:pt>
                <c:pt idx="2">
                  <c:v>2.84</c:v>
                </c:pt>
                <c:pt idx="3">
                  <c:v>2.8</c:v>
                </c:pt>
                <c:pt idx="4">
                  <c:v>2.6823239105567218</c:v>
                </c:pt>
                <c:pt idx="5">
                  <c:v>2.6273862076089638</c:v>
                </c:pt>
                <c:pt idx="6">
                  <c:v>2.8595600546995126</c:v>
                </c:pt>
                <c:pt idx="7">
                  <c:v>2.8695520700792638</c:v>
                </c:pt>
                <c:pt idx="8">
                  <c:v>2.90853620025824</c:v>
                </c:pt>
                <c:pt idx="9">
                  <c:v>2.8767682077796914</c:v>
                </c:pt>
                <c:pt idx="10">
                  <c:v>2.8572786526792213</c:v>
                </c:pt>
                <c:pt idx="11">
                  <c:v>2.828080309880125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7-FB48-AAAB-832B64C7673B}"/>
            </c:ext>
          </c:extLst>
        </c:ser>
        <c:ser>
          <c:idx val="3"/>
          <c:order val="4"/>
          <c:tx>
            <c:strRef>
              <c:f>Sheet1!$A$6</c:f>
              <c:strCache>
                <c:ptCount val="1"/>
                <c:pt idx="0">
                  <c:v>M &amp; O/New Enrichment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Sheet1!$F$1:$Q$1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Sheet1!$F$6:$Q$6</c:f>
              <c:numCache>
                <c:formatCode>General</c:formatCode>
                <c:ptCount val="12"/>
                <c:pt idx="0">
                  <c:v>4.3</c:v>
                </c:pt>
                <c:pt idx="1">
                  <c:v>4.18</c:v>
                </c:pt>
                <c:pt idx="2">
                  <c:v>4.1100000000000003</c:v>
                </c:pt>
                <c:pt idx="3" formatCode="0.00">
                  <c:v>4.0999999999999996</c:v>
                </c:pt>
                <c:pt idx="4">
                  <c:v>4.0999999999999996</c:v>
                </c:pt>
                <c:pt idx="5" formatCode="0.00">
                  <c:v>3.73</c:v>
                </c:pt>
                <c:pt idx="6">
                  <c:v>1.5</c:v>
                </c:pt>
                <c:pt idx="7">
                  <c:v>2.5</c:v>
                </c:pt>
                <c:pt idx="8">
                  <c:v>2.5</c:v>
                </c:pt>
                <c:pt idx="9">
                  <c:v>2.5</c:v>
                </c:pt>
                <c:pt idx="10">
                  <c:v>2.5</c:v>
                </c:pt>
                <c:pt idx="11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7-FB48-AAAB-832B64C7673B}"/>
            </c:ext>
          </c:extLst>
        </c:ser>
        <c:ser>
          <c:idx val="4"/>
          <c:order val="5"/>
          <c:tx>
            <c:strRef>
              <c:f>Sheet1!$A$7</c:f>
              <c:strCache>
                <c:ptCount val="1"/>
                <c:pt idx="0">
                  <c:v>Capital Projects</c:v>
                </c:pt>
              </c:strCache>
            </c:strRef>
          </c:tx>
          <c:spPr>
            <a:solidFill>
              <a:srgbClr val="0099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Sheet1!$F$1:$Q$1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Sheet1!$F$7:$Q$7</c:f>
              <c:numCache>
                <c:formatCode>General</c:formatCode>
                <c:ptCount val="12"/>
                <c:pt idx="6">
                  <c:v>0.9</c:v>
                </c:pt>
                <c:pt idx="7">
                  <c:v>0.9</c:v>
                </c:pt>
                <c:pt idx="8" formatCode="0.00">
                  <c:v>1.1499999999999999</c:v>
                </c:pt>
                <c:pt idx="9" formatCode="0.00">
                  <c:v>1.1499999999999999</c:v>
                </c:pt>
                <c:pt idx="10" formatCode="0.00">
                  <c:v>1.1499999999999999</c:v>
                </c:pt>
                <c:pt idx="11" formatCode="0.00">
                  <c:v>1.1499999999999999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E7-FB48-AAAB-832B64C7673B}"/>
            </c:ext>
          </c:extLst>
        </c:ser>
        <c:ser>
          <c:idx val="8"/>
          <c:order val="6"/>
          <c:tx>
            <c:strRef>
              <c:f>Sheet1!$A$8</c:f>
              <c:strCache>
                <c:ptCount val="1"/>
                <c:pt idx="0">
                  <c:v>Transportation Vehicle Levy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0"/>
              <c:layout>
                <c:manualLayout>
                  <c:x val="-1.4651367255210472E-3"/>
                  <c:y val="-4.04384869319208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E7-FB48-AAAB-832B64C767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Sheet1!$F$1:$Q$1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Sheet1!$F$8:$Q$8</c:f>
              <c:numCache>
                <c:formatCode>General</c:formatCode>
                <c:ptCount val="12"/>
                <c:pt idx="6">
                  <c:v>0.45</c:v>
                </c:pt>
                <c:pt idx="7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E7-FB48-AAAB-832B64C7673B}"/>
            </c:ext>
          </c:extLst>
        </c:ser>
        <c:ser>
          <c:idx val="5"/>
          <c:order val="7"/>
          <c:tx>
            <c:strRef>
              <c:f>Sheet1!$A$9</c:f>
              <c:strCache>
                <c:ptCount val="1"/>
                <c:pt idx="0">
                  <c:v>State Tax Rate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Sheet1!$F$1:$Q$1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Sheet1!$F$9:$Q$9</c:f>
              <c:numCache>
                <c:formatCode>General</c:formatCode>
                <c:ptCount val="12"/>
                <c:pt idx="0">
                  <c:v>1.88</c:v>
                </c:pt>
                <c:pt idx="1">
                  <c:v>1.88</c:v>
                </c:pt>
                <c:pt idx="2">
                  <c:v>1.88</c:v>
                </c:pt>
                <c:pt idx="3">
                  <c:v>1.88</c:v>
                </c:pt>
                <c:pt idx="4">
                  <c:v>2.0699999999999998</c:v>
                </c:pt>
                <c:pt idx="5">
                  <c:v>3.01</c:v>
                </c:pt>
                <c:pt idx="6">
                  <c:v>2.76</c:v>
                </c:pt>
                <c:pt idx="7">
                  <c:v>3.01</c:v>
                </c:pt>
                <c:pt idx="8">
                  <c:v>3.01</c:v>
                </c:pt>
                <c:pt idx="9">
                  <c:v>3.01</c:v>
                </c:pt>
                <c:pt idx="10">
                  <c:v>3.01</c:v>
                </c:pt>
                <c:pt idx="11">
                  <c:v>3.01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E7-FB48-AAAB-832B64C76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695375392"/>
        <c:axId val="-172724500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2009 Bonds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1000"/>
                          <a:satMod val="130000"/>
                        </a:schemeClr>
                      </a:gs>
                      <a:gs pos="80000">
                        <a:schemeClr val="accent1">
                          <a:shade val="93000"/>
                          <a:satMod val="130000"/>
                        </a:schemeClr>
                      </a:gs>
                      <a:gs pos="100000">
                        <a:schemeClr val="accent1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Sheet1!$F$1:$Q$1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2013</c:v>
                      </c:pt>
                      <c:pt idx="1">
                        <c:v>2014</c:v>
                      </c:pt>
                      <c:pt idx="2">
                        <c:v>2015</c:v>
                      </c:pt>
                      <c:pt idx="3">
                        <c:v>2016</c:v>
                      </c:pt>
                      <c:pt idx="4">
                        <c:v>2017</c:v>
                      </c:pt>
                      <c:pt idx="5">
                        <c:v>2018</c:v>
                      </c:pt>
                      <c:pt idx="6">
                        <c:v>2019</c:v>
                      </c:pt>
                      <c:pt idx="7">
                        <c:v>2020</c:v>
                      </c:pt>
                      <c:pt idx="8">
                        <c:v>2021</c:v>
                      </c:pt>
                      <c:pt idx="9">
                        <c:v>2022</c:v>
                      </c:pt>
                      <c:pt idx="10">
                        <c:v>2023</c:v>
                      </c:pt>
                      <c:pt idx="11">
                        <c:v>2024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Sheet1!$B$2:$V$2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1.58</c:v>
                      </c:pt>
                      <c:pt idx="1">
                        <c:v>1.54</c:v>
                      </c:pt>
                      <c:pt idx="2">
                        <c:v>1.53</c:v>
                      </c:pt>
                      <c:pt idx="3">
                        <c:v>1.49</c:v>
                      </c:pt>
                      <c:pt idx="4">
                        <c:v>1.36</c:v>
                      </c:pt>
                      <c:pt idx="5">
                        <c:v>1.26</c:v>
                      </c:pt>
                      <c:pt idx="6">
                        <c:v>1.31</c:v>
                      </c:pt>
                      <c:pt idx="7" formatCode="0.00">
                        <c:v>0.37703358034958973</c:v>
                      </c:pt>
                      <c:pt idx="8" formatCode="0.00">
                        <c:v>0.40727269578029818</c:v>
                      </c:pt>
                      <c:pt idx="9" formatCode="0.00">
                        <c:v>0.42978238450390766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C-3AE7-FB48-AAAB-832B64C7673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Sheet1!$A$3</c15:sqref>
                        </c15:formulaRef>
                      </c:ext>
                    </c:extLst>
                    <c:strCache>
                      <c:ptCount val="1"/>
                      <c:pt idx="0">
                        <c:v>2010 Bonds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hade val="51000"/>
                          <a:satMod val="130000"/>
                        </a:schemeClr>
                      </a:gs>
                      <a:gs pos="80000">
                        <a:schemeClr val="accent2">
                          <a:shade val="93000"/>
                          <a:satMod val="130000"/>
                        </a:schemeClr>
                      </a:gs>
                      <a:gs pos="100000">
                        <a:schemeClr val="accent2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Sheet1!$F$1:$Q$1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2013</c:v>
                      </c:pt>
                      <c:pt idx="1">
                        <c:v>2014</c:v>
                      </c:pt>
                      <c:pt idx="2">
                        <c:v>2015</c:v>
                      </c:pt>
                      <c:pt idx="3">
                        <c:v>2016</c:v>
                      </c:pt>
                      <c:pt idx="4">
                        <c:v>2017</c:v>
                      </c:pt>
                      <c:pt idx="5">
                        <c:v>2018</c:v>
                      </c:pt>
                      <c:pt idx="6">
                        <c:v>2019</c:v>
                      </c:pt>
                      <c:pt idx="7">
                        <c:v>2020</c:v>
                      </c:pt>
                      <c:pt idx="8">
                        <c:v>2021</c:v>
                      </c:pt>
                      <c:pt idx="9">
                        <c:v>2022</c:v>
                      </c:pt>
                      <c:pt idx="10">
                        <c:v>2023</c:v>
                      </c:pt>
                      <c:pt idx="11">
                        <c:v>2024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Sheet1!$B$3:$V$3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1">
                        <c:v>1.62</c:v>
                      </c:pt>
                      <c:pt idx="2">
                        <c:v>1.58</c:v>
                      </c:pt>
                      <c:pt idx="3">
                        <c:v>1.6</c:v>
                      </c:pt>
                      <c:pt idx="4">
                        <c:v>1.57</c:v>
                      </c:pt>
                      <c:pt idx="5">
                        <c:v>1.49</c:v>
                      </c:pt>
                      <c:pt idx="6">
                        <c:v>1.53</c:v>
                      </c:pt>
                      <c:pt idx="7" formatCode="0.00">
                        <c:v>1.315333771966221</c:v>
                      </c:pt>
                      <c:pt idx="8" formatCode="0.00">
                        <c:v>1.266360601830941</c:v>
                      </c:pt>
                      <c:pt idx="9" formatCode="0.00">
                        <c:v>1.2332885816199088</c:v>
                      </c:pt>
                      <c:pt idx="10" formatCode="0.00">
                        <c:v>1.2182680601488354</c:v>
                      </c:pt>
                      <c:pt idx="11" formatCode="0.00">
                        <c:v>1.217210934989819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D-3AE7-FB48-AAAB-832B64C7673B}"/>
                  </c:ext>
                </c:extLst>
              </c15:ser>
            </c15:filteredBarSeries>
            <c15:filteredBarSeries>
              <c15:ser>
                <c:idx val="2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Sheet1!$A$4</c15:sqref>
                        </c15:formulaRef>
                      </c:ext>
                    </c:extLst>
                    <c:strCache>
                      <c:ptCount val="1"/>
                      <c:pt idx="0">
                        <c:v>2016 bonds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hade val="51000"/>
                          <a:satMod val="130000"/>
                        </a:schemeClr>
                      </a:gs>
                      <a:gs pos="80000">
                        <a:schemeClr val="accent3">
                          <a:shade val="93000"/>
                          <a:satMod val="130000"/>
                        </a:schemeClr>
                      </a:gs>
                      <a:gs pos="100000">
                        <a:schemeClr val="accent3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Sheet1!$F$1:$Q$1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2013</c:v>
                      </c:pt>
                      <c:pt idx="1">
                        <c:v>2014</c:v>
                      </c:pt>
                      <c:pt idx="2">
                        <c:v>2015</c:v>
                      </c:pt>
                      <c:pt idx="3">
                        <c:v>2016</c:v>
                      </c:pt>
                      <c:pt idx="4">
                        <c:v>2017</c:v>
                      </c:pt>
                      <c:pt idx="5">
                        <c:v>2018</c:v>
                      </c:pt>
                      <c:pt idx="6">
                        <c:v>2019</c:v>
                      </c:pt>
                      <c:pt idx="7">
                        <c:v>2020</c:v>
                      </c:pt>
                      <c:pt idx="8">
                        <c:v>2021</c:v>
                      </c:pt>
                      <c:pt idx="9">
                        <c:v>2022</c:v>
                      </c:pt>
                      <c:pt idx="10">
                        <c:v>2023</c:v>
                      </c:pt>
                      <c:pt idx="11">
                        <c:v>2024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Sheet1!$B$4:$V$4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7" formatCode="0.00">
                        <c:v>0.98867359145503941</c:v>
                      </c:pt>
                      <c:pt idx="8" formatCode="0.00">
                        <c:v>1.0086906129454825</c:v>
                      </c:pt>
                      <c:pt idx="9" formatCode="0.00">
                        <c:v>0.96431524148514736</c:v>
                      </c:pt>
                      <c:pt idx="10" formatCode="0.00">
                        <c:v>1.3695690934253844</c:v>
                      </c:pt>
                      <c:pt idx="11" formatCode="0.00">
                        <c:v>1.379668766439379</c:v>
                      </c:pt>
                      <c:pt idx="12" formatCode="0.00">
                        <c:v>2.90853620025824</c:v>
                      </c:pt>
                      <c:pt idx="13" formatCode="0.00">
                        <c:v>2.8767682077796914</c:v>
                      </c:pt>
                      <c:pt idx="14" formatCode="0.00">
                        <c:v>2.8572786526792213</c:v>
                      </c:pt>
                      <c:pt idx="15" formatCode="0.00">
                        <c:v>2.828080309880125</c:v>
                      </c:pt>
                      <c:pt idx="16" formatCode="0.00">
                        <c:v>2.8073168218796276</c:v>
                      </c:pt>
                      <c:pt idx="17" formatCode="0.00">
                        <c:v>2.7772808047940201</c:v>
                      </c:pt>
                      <c:pt idx="18" formatCode="0.00">
                        <c:v>2.7616800434664137</c:v>
                      </c:pt>
                      <c:pt idx="19" formatCode="0.00">
                        <c:v>2.738536877378265</c:v>
                      </c:pt>
                      <c:pt idx="20" formatCode="0.00">
                        <c:v>2.7232754100109928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E-3AE7-FB48-AAAB-832B64C7673B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7"/>
          <c:order val="8"/>
          <c:tx>
            <c:strRef>
              <c:f>Sheet1!$A$10</c:f>
              <c:strCache>
                <c:ptCount val="1"/>
                <c:pt idx="0">
                  <c:v>Total With State Taxes</c:v>
                </c:pt>
              </c:strCache>
            </c:strRef>
          </c:tx>
          <c:spPr>
            <a:ln w="34925" cap="rnd">
              <a:solidFill>
                <a:schemeClr val="accent2">
                  <a:lumMod val="60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2">
                    <a:lumMod val="60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2.6359831767540899E-2"/>
                  <c:y val="-3.4343434343434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E7-FB48-AAAB-832B64C7673B}"/>
                </c:ext>
              </c:extLst>
            </c:dLbl>
            <c:dLbl>
              <c:idx val="1"/>
              <c:layout>
                <c:manualLayout>
                  <c:x val="-2.78242668657376E-2"/>
                  <c:y val="-3.6363636363636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E7-FB48-AAAB-832B64C7673B}"/>
                </c:ext>
              </c:extLst>
            </c:dLbl>
            <c:dLbl>
              <c:idx val="2"/>
              <c:layout>
                <c:manualLayout>
                  <c:x val="-1.7573221178360601E-2"/>
                  <c:y val="-2.62626262626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E7-FB48-AAAB-832B64C7673B}"/>
                </c:ext>
              </c:extLst>
            </c:dLbl>
            <c:dLbl>
              <c:idx val="3"/>
              <c:layout>
                <c:manualLayout>
                  <c:x val="-1.7573221178360601E-2"/>
                  <c:y val="-1.6161616161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E7-FB48-AAAB-832B64C7673B}"/>
                </c:ext>
              </c:extLst>
            </c:dLbl>
            <c:dLbl>
              <c:idx val="4"/>
              <c:layout>
                <c:manualLayout>
                  <c:x val="-5.8577403927868596E-3"/>
                  <c:y val="-2.62626262626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AE7-FB48-AAAB-832B64C7673B}"/>
                </c:ext>
              </c:extLst>
            </c:dLbl>
            <c:dLbl>
              <c:idx val="5"/>
              <c:layout>
                <c:manualLayout>
                  <c:x val="-2.78242668657376E-2"/>
                  <c:y val="-2.2222222222222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E7-FB48-AAAB-832B64C7673B}"/>
                </c:ext>
              </c:extLst>
            </c:dLbl>
            <c:dLbl>
              <c:idx val="6"/>
              <c:layout>
                <c:manualLayout>
                  <c:x val="-2.9288701963934401E-2"/>
                  <c:y val="-2.2222222222222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E7-FB48-AAAB-832B64C7673B}"/>
                </c:ext>
              </c:extLst>
            </c:dLbl>
            <c:dLbl>
              <c:idx val="7"/>
              <c:layout>
                <c:manualLayout>
                  <c:x val="-2.4895396669344198E-2"/>
                  <c:y val="-2.4242424242424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AE7-FB48-AAAB-832B64C7673B}"/>
                </c:ext>
              </c:extLst>
            </c:dLbl>
            <c:dLbl>
              <c:idx val="8"/>
              <c:layout>
                <c:manualLayout>
                  <c:x val="-2.7824266865737499E-2"/>
                  <c:y val="-4.2424242424242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AE7-FB48-AAAB-832B64C7673B}"/>
                </c:ext>
              </c:extLst>
            </c:dLbl>
            <c:dLbl>
              <c:idx val="9"/>
              <c:layout>
                <c:manualLayout>
                  <c:x val="-4.9204578594342373E-2"/>
                  <c:y val="-4.63362505614751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015893846602513E-2"/>
                      <c:h val="7.32970598099304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3AE7-FB48-AAAB-832B64C7673B}"/>
                </c:ext>
              </c:extLst>
            </c:dLbl>
            <c:dLbl>
              <c:idx val="10"/>
              <c:layout>
                <c:manualLayout>
                  <c:x val="-3.0753137062131002E-2"/>
                  <c:y val="-4.0404040404040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AE7-FB48-AAAB-832B64C7673B}"/>
                </c:ext>
              </c:extLst>
            </c:dLbl>
            <c:dLbl>
              <c:idx val="11"/>
              <c:layout>
                <c:manualLayout>
                  <c:x val="-3.3682007258524597E-2"/>
                  <c:y val="-2.62626262626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AE7-FB48-AAAB-832B64C7673B}"/>
                </c:ext>
              </c:extLst>
            </c:dLbl>
            <c:dLbl>
              <c:idx val="12"/>
              <c:layout>
                <c:manualLayout>
                  <c:x val="-2.78242668657376E-2"/>
                  <c:y val="-2.62626262626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AE7-FB48-AAAB-832B64C7673B}"/>
                </c:ext>
              </c:extLst>
            </c:dLbl>
            <c:dLbl>
              <c:idx val="13"/>
              <c:layout>
                <c:manualLayout>
                  <c:x val="-2.7829723149241401E-2"/>
                  <c:y val="-2.626256321215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AE7-FB48-AAAB-832B64C7673B}"/>
                </c:ext>
              </c:extLst>
            </c:dLbl>
            <c:dLbl>
              <c:idx val="14"/>
              <c:layout>
                <c:manualLayout>
                  <c:x val="-2.3435859885454199E-2"/>
                  <c:y val="-2.626256321215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AE7-FB48-AAAB-832B64C7673B}"/>
                </c:ext>
              </c:extLst>
            </c:dLbl>
            <c:dLbl>
              <c:idx val="15"/>
              <c:layout>
                <c:manualLayout>
                  <c:x val="-2.3435859885454199E-2"/>
                  <c:y val="-2.8284842680988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AE7-FB48-AAAB-832B64C7673B}"/>
                </c:ext>
              </c:extLst>
            </c:dLbl>
            <c:dLbl>
              <c:idx val="16"/>
              <c:layout>
                <c:manualLayout>
                  <c:x val="-2.6368716321058801E-2"/>
                  <c:y val="-2.83119125636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AE7-FB48-AAAB-832B64C7673B}"/>
                </c:ext>
              </c:extLst>
            </c:dLbl>
            <c:dLbl>
              <c:idx val="17"/>
              <c:layout>
                <c:manualLayout>
                  <c:x val="-2.9298573690065399E-2"/>
                  <c:y val="-2.83119125636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AE7-FB48-AAAB-832B64C7673B}"/>
                </c:ext>
              </c:extLst>
            </c:dLbl>
            <c:dLbl>
              <c:idx val="18"/>
              <c:layout>
                <c:manualLayout>
                  <c:x val="-3.0763502374568801E-2"/>
                  <c:y val="-2.6289633094810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AE7-FB48-AAAB-832B64C7673B}"/>
                </c:ext>
              </c:extLst>
            </c:dLbl>
            <c:dLbl>
              <c:idx val="19"/>
              <c:layout>
                <c:manualLayout>
                  <c:x val="-3.5158288428078603E-2"/>
                  <c:y val="-2.4267353625978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AE7-FB48-AAAB-832B64C7673B}"/>
                </c:ext>
              </c:extLst>
            </c:dLbl>
            <c:dLbl>
              <c:idx val="20"/>
              <c:layout>
                <c:manualLayout>
                  <c:x val="-1.3184358160529401E-2"/>
                  <c:y val="-2.4267353625978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AE7-FB48-AAAB-832B64C767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Sheet1!$F$1:$Q$1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Sheet1!$F$10:$Q$10</c:f>
              <c:numCache>
                <c:formatCode>0.00</c:formatCode>
                <c:ptCount val="12"/>
                <c:pt idx="0">
                  <c:v>9.11</c:v>
                </c:pt>
                <c:pt idx="1">
                  <c:v>8.8099999999999987</c:v>
                </c:pt>
                <c:pt idx="2">
                  <c:v>8.83</c:v>
                </c:pt>
                <c:pt idx="3">
                  <c:v>8.7799999999999994</c:v>
                </c:pt>
                <c:pt idx="4">
                  <c:v>8.8523239105567217</c:v>
                </c:pt>
                <c:pt idx="5">
                  <c:v>9.3673862076089627</c:v>
                </c:pt>
                <c:pt idx="6">
                  <c:v>8.4695600546995138</c:v>
                </c:pt>
                <c:pt idx="7">
                  <c:v>9.729552070079265</c:v>
                </c:pt>
                <c:pt idx="8">
                  <c:v>9.5685362002582401</c:v>
                </c:pt>
                <c:pt idx="9">
                  <c:v>9.5367682077796907</c:v>
                </c:pt>
                <c:pt idx="10">
                  <c:v>9.5172786526792219</c:v>
                </c:pt>
                <c:pt idx="11">
                  <c:v>9.4880803098801252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3AE7-FB48-AAAB-832B64C76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95375392"/>
        <c:axId val="-1727245008"/>
      </c:lineChart>
      <c:catAx>
        <c:axId val="-169537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727245008"/>
        <c:crosses val="autoZero"/>
        <c:auto val="1"/>
        <c:lblAlgn val="ctr"/>
        <c:lblOffset val="100"/>
        <c:noMultiLvlLbl val="0"/>
      </c:catAx>
      <c:valAx>
        <c:axId val="-1727245008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69537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Linstrum</cp:lastModifiedBy>
  <cp:revision>4</cp:revision>
  <cp:lastPrinted>2019-11-25T23:11:00Z</cp:lastPrinted>
  <dcterms:created xsi:type="dcterms:W3CDTF">2019-11-25T20:09:00Z</dcterms:created>
  <dcterms:modified xsi:type="dcterms:W3CDTF">2019-11-25T23:12:00Z</dcterms:modified>
</cp:coreProperties>
</file>